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7CCC1A" w14:textId="671F9ACD" w:rsidR="00D334FD" w:rsidRDefault="00D334FD" w:rsidP="00D334FD">
      <w:pPr>
        <w:pStyle w:val="Standard"/>
        <w:ind w:firstLine="709"/>
        <w:jc w:val="both"/>
        <w:rPr>
          <w:color w:val="000000"/>
          <w:szCs w:val="28"/>
        </w:rPr>
      </w:pPr>
      <w:r w:rsidRPr="00D334FD">
        <w:rPr>
          <w:color w:val="000000"/>
          <w:szCs w:val="28"/>
        </w:rPr>
        <w:t xml:space="preserve">                                                          </w:t>
      </w:r>
      <w:r>
        <w:rPr>
          <w:color w:val="000000"/>
          <w:szCs w:val="28"/>
        </w:rPr>
        <w:t xml:space="preserve">            Приложение 1</w:t>
      </w:r>
    </w:p>
    <w:p w14:paraId="28553459" w14:textId="04F1EFCF" w:rsidR="00D334FD" w:rsidRDefault="00D334FD" w:rsidP="00D334FD">
      <w:pPr>
        <w:pStyle w:val="Standard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к письму Отделения Ставрополь</w:t>
      </w:r>
    </w:p>
    <w:p w14:paraId="5089854E" w14:textId="02D46730" w:rsidR="00D334FD" w:rsidRDefault="00D334FD" w:rsidP="00D334FD">
      <w:pPr>
        <w:pStyle w:val="Standard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от_________№_________</w:t>
      </w:r>
      <w:bookmarkStart w:id="0" w:name="_GoBack"/>
      <w:bookmarkEnd w:id="0"/>
    </w:p>
    <w:p w14:paraId="298756BC" w14:textId="29D70DBF" w:rsidR="00D334FD" w:rsidRDefault="00D334FD" w:rsidP="00D334FD">
      <w:pPr>
        <w:pStyle w:val="Standard"/>
        <w:ind w:firstLine="709"/>
        <w:jc w:val="both"/>
        <w:rPr>
          <w:color w:val="000000"/>
          <w:szCs w:val="28"/>
        </w:rPr>
      </w:pPr>
    </w:p>
    <w:p w14:paraId="3A3728B6" w14:textId="77777777" w:rsidR="00D334FD" w:rsidRPr="00D334FD" w:rsidRDefault="00D334FD" w:rsidP="00D334FD">
      <w:pPr>
        <w:pStyle w:val="Standard"/>
        <w:ind w:firstLine="709"/>
        <w:jc w:val="both"/>
        <w:rPr>
          <w:color w:val="000000"/>
          <w:szCs w:val="28"/>
        </w:rPr>
      </w:pPr>
    </w:p>
    <w:p w14:paraId="0924721A" w14:textId="43AA630D" w:rsidR="005C1DC0" w:rsidRDefault="005C1DC0" w:rsidP="0043670F">
      <w:pPr>
        <w:pStyle w:val="Standard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Реалии настоящего времени формируют новые вызовы</w:t>
      </w:r>
      <w:r w:rsidR="0043670F">
        <w:rPr>
          <w:szCs w:val="28"/>
        </w:rPr>
        <w:t xml:space="preserve">, существенно влияющие на развитие регионального платежного рынка. Платежная индустрия, как и общество в целом, проходит цифровую трансформацию. Потребители становятся все более требовательны к скорости, стоимости и доступности платежных услуг. Для создания инновационных платежных продуктов и сервисов поставщики платежных услуг широко внедряют новые технологии и сервисы. </w:t>
      </w:r>
    </w:p>
    <w:p w14:paraId="55F197F6" w14:textId="6892BDB3" w:rsidR="00926CA3" w:rsidRDefault="0084751E" w:rsidP="003D11E9">
      <w:pPr>
        <w:pStyle w:val="a6"/>
        <w:spacing w:line="360" w:lineRule="auto"/>
        <w:ind w:firstLine="680"/>
        <w:jc w:val="both"/>
      </w:pPr>
      <w:r>
        <w:rPr>
          <w:color w:val="000000"/>
        </w:rPr>
        <w:t xml:space="preserve">Технологические инновации позволяют банкам выстраивать новые сервисы, не предусматривающие непосредственное участие в процессе предоставления услуг работников банка, или предусматривающее их минимальное участие. </w:t>
      </w:r>
    </w:p>
    <w:p w14:paraId="5CAF1439" w14:textId="695B4FB3" w:rsidR="00926CA3" w:rsidRPr="00101F2B" w:rsidRDefault="0084751E" w:rsidP="003D11E9">
      <w:pPr>
        <w:pStyle w:val="Standard"/>
        <w:spacing w:line="360" w:lineRule="auto"/>
        <w:ind w:firstLine="709"/>
        <w:jc w:val="both"/>
      </w:pPr>
      <w:r>
        <w:rPr>
          <w:color w:val="000000"/>
          <w:szCs w:val="28"/>
        </w:rPr>
        <w:t>Особое внимание сейчас уделяется использованию агентских моделей в качестве канала предоставления финансовы</w:t>
      </w:r>
      <w:r w:rsidR="003D11E9">
        <w:rPr>
          <w:color w:val="000000"/>
          <w:szCs w:val="28"/>
        </w:rPr>
        <w:t xml:space="preserve">х услуг вне рамок банковских офисов, в том числе </w:t>
      </w:r>
      <w:r w:rsidRPr="00101F2B">
        <w:rPr>
          <w:szCs w:val="28"/>
        </w:rPr>
        <w:t>проекту С</w:t>
      </w:r>
      <w:r w:rsidRPr="00101F2B">
        <w:rPr>
          <w:szCs w:val="28"/>
          <w:lang w:val="en-US"/>
        </w:rPr>
        <w:t>ash</w:t>
      </w:r>
      <w:r w:rsidRPr="00101F2B">
        <w:rPr>
          <w:szCs w:val="28"/>
        </w:rPr>
        <w:t>О</w:t>
      </w:r>
      <w:proofErr w:type="spellStart"/>
      <w:r w:rsidRPr="00101F2B">
        <w:rPr>
          <w:szCs w:val="28"/>
          <w:lang w:val="en-US"/>
        </w:rPr>
        <w:t>ut</w:t>
      </w:r>
      <w:proofErr w:type="spellEnd"/>
      <w:r w:rsidRPr="00101F2B">
        <w:rPr>
          <w:szCs w:val="28"/>
        </w:rPr>
        <w:t>, позволяющему снимать наличные денежные средства</w:t>
      </w:r>
      <w:r w:rsidR="007054C6" w:rsidRPr="00101F2B">
        <w:rPr>
          <w:szCs w:val="28"/>
        </w:rPr>
        <w:t>, оплачивать, к примеру</w:t>
      </w:r>
      <w:r w:rsidR="004C7B0B" w:rsidRPr="00101F2B">
        <w:rPr>
          <w:szCs w:val="28"/>
        </w:rPr>
        <w:t>,</w:t>
      </w:r>
      <w:r w:rsidR="007054C6" w:rsidRPr="00101F2B">
        <w:rPr>
          <w:szCs w:val="28"/>
        </w:rPr>
        <w:t xml:space="preserve"> коммунальные услуги</w:t>
      </w:r>
      <w:r w:rsidRPr="00101F2B">
        <w:rPr>
          <w:szCs w:val="28"/>
        </w:rPr>
        <w:t xml:space="preserve"> в организациях торговли и услуг, расположенных в населенных пунктах с низкой доступностью финансовых услуг</w:t>
      </w:r>
      <w:r w:rsidR="003D11E9">
        <w:rPr>
          <w:szCs w:val="28"/>
        </w:rPr>
        <w:t xml:space="preserve">. На 01.04.2021 на территории края насчитывалось 954 точки обслуживания сервиса. Большинство из них работает в отделениях почтовой связи, непосредственно в магазинах 30 таких точек. </w:t>
      </w:r>
      <w:r w:rsidR="00392930">
        <w:rPr>
          <w:szCs w:val="28"/>
        </w:rPr>
        <w:t>Д</w:t>
      </w:r>
      <w:r w:rsidR="00392930">
        <w:rPr>
          <w:color w:val="000000"/>
          <w:szCs w:val="28"/>
        </w:rPr>
        <w:t xml:space="preserve">анный сервис интересен не только для потребителей, но и для предпринимателей, в первую очередь за счет увеличения потока клиентов, возможности получения дополнительного дохода за счет различных комиссий и бонусов, предусмотренных за проведение </w:t>
      </w:r>
      <w:r w:rsidR="00392930" w:rsidRPr="00101F2B">
        <w:rPr>
          <w:szCs w:val="28"/>
        </w:rPr>
        <w:t>операций по выдач</w:t>
      </w:r>
      <w:r w:rsidR="004E3818">
        <w:rPr>
          <w:szCs w:val="28"/>
        </w:rPr>
        <w:t>е наличных денег, приема оплаты</w:t>
      </w:r>
      <w:r w:rsidR="00392930" w:rsidRPr="00101F2B">
        <w:rPr>
          <w:szCs w:val="28"/>
        </w:rPr>
        <w:t xml:space="preserve"> коммунальных услуг, а также за счет снижения ставки по </w:t>
      </w:r>
      <w:r w:rsidR="00392930" w:rsidRPr="00101F2B">
        <w:rPr>
          <w:szCs w:val="28"/>
        </w:rPr>
        <w:lastRenderedPageBreak/>
        <w:t xml:space="preserve">договору </w:t>
      </w:r>
      <w:proofErr w:type="spellStart"/>
      <w:r w:rsidR="00392930" w:rsidRPr="00101F2B">
        <w:rPr>
          <w:szCs w:val="28"/>
        </w:rPr>
        <w:t>эквайринга</w:t>
      </w:r>
      <w:proofErr w:type="spellEnd"/>
      <w:r w:rsidR="00392930" w:rsidRPr="00101F2B">
        <w:rPr>
          <w:szCs w:val="28"/>
        </w:rPr>
        <w:t xml:space="preserve">. </w:t>
      </w:r>
      <w:r w:rsidR="00975D10">
        <w:rPr>
          <w:szCs w:val="28"/>
        </w:rPr>
        <w:t xml:space="preserve">Особую актуальность проект приобретает в условиях вступления в силу поправок </w:t>
      </w:r>
      <w:r w:rsidR="00855D1E">
        <w:rPr>
          <w:szCs w:val="28"/>
        </w:rPr>
        <w:t xml:space="preserve">к </w:t>
      </w:r>
      <w:r w:rsidR="00975D10">
        <w:rPr>
          <w:szCs w:val="28"/>
        </w:rPr>
        <w:t>Федерально</w:t>
      </w:r>
      <w:r w:rsidR="00855D1E">
        <w:rPr>
          <w:szCs w:val="28"/>
        </w:rPr>
        <w:t>му</w:t>
      </w:r>
      <w:r w:rsidR="00975D10">
        <w:rPr>
          <w:szCs w:val="28"/>
        </w:rPr>
        <w:t xml:space="preserve"> закон</w:t>
      </w:r>
      <w:r w:rsidR="00855D1E">
        <w:rPr>
          <w:szCs w:val="28"/>
        </w:rPr>
        <w:t>у</w:t>
      </w:r>
      <w:r w:rsidR="00975D10">
        <w:rPr>
          <w:szCs w:val="28"/>
        </w:rPr>
        <w:t xml:space="preserve"> от 07.02.1992 №</w:t>
      </w:r>
      <w:r w:rsidR="00DB5401">
        <w:rPr>
          <w:szCs w:val="28"/>
        </w:rPr>
        <w:t> </w:t>
      </w:r>
      <w:r w:rsidR="00975D10">
        <w:rPr>
          <w:szCs w:val="28"/>
        </w:rPr>
        <w:t xml:space="preserve">2300-1 «О защите прав потребителей». Так, указанный закон предусматривает, что с 01.07.2021 обязанность обеспечить возможность оплаты товаров (работ, услуг) с использованием национальных платежных инструментов в рамках национальной системы платежных карт распространяется на продавца (исполнителя, владельца </w:t>
      </w:r>
      <w:proofErr w:type="spellStart"/>
      <w:r w:rsidR="00975D10">
        <w:rPr>
          <w:szCs w:val="28"/>
        </w:rPr>
        <w:t>агрегатора</w:t>
      </w:r>
      <w:proofErr w:type="spellEnd"/>
      <w:r w:rsidR="00975D10">
        <w:rPr>
          <w:szCs w:val="28"/>
        </w:rPr>
        <w:t>), у которого выручка от реализации товаров (выполнения работ, оказания услуг) за предшествующий календарный год превышает двадцать миллионов рублей.</w:t>
      </w:r>
    </w:p>
    <w:p w14:paraId="730050E7" w14:textId="481DE6AE" w:rsidR="00AF1819" w:rsidRDefault="0084751E" w:rsidP="00AF1819">
      <w:pPr>
        <w:pStyle w:val="a8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F1819">
        <w:rPr>
          <w:color w:val="000000"/>
          <w:sz w:val="28"/>
          <w:szCs w:val="28"/>
        </w:rPr>
        <w:t>Важным</w:t>
      </w:r>
      <w:r w:rsidR="00AF1819" w:rsidRPr="00AF1819">
        <w:rPr>
          <w:color w:val="000000"/>
          <w:sz w:val="28"/>
          <w:szCs w:val="28"/>
        </w:rPr>
        <w:t xml:space="preserve"> каналом предоставления финансовых услуг</w:t>
      </w:r>
      <w:r w:rsidR="004E3818">
        <w:rPr>
          <w:color w:val="000000"/>
          <w:sz w:val="28"/>
          <w:szCs w:val="28"/>
        </w:rPr>
        <w:t>,</w:t>
      </w:r>
      <w:r w:rsidR="00AF1819" w:rsidRPr="00AF1819">
        <w:rPr>
          <w:color w:val="000000"/>
          <w:sz w:val="28"/>
          <w:szCs w:val="28"/>
        </w:rPr>
        <w:t xml:space="preserve"> особенно на территории</w:t>
      </w:r>
      <w:r w:rsidRPr="00AF1819">
        <w:rPr>
          <w:color w:val="000000"/>
          <w:sz w:val="28"/>
          <w:szCs w:val="28"/>
        </w:rPr>
        <w:t xml:space="preserve"> </w:t>
      </w:r>
      <w:r w:rsidR="00AF1819" w:rsidRPr="00AF1819">
        <w:rPr>
          <w:color w:val="000000"/>
          <w:sz w:val="28"/>
          <w:szCs w:val="28"/>
        </w:rPr>
        <w:t>сельских населенных пунктов</w:t>
      </w:r>
      <w:r w:rsidR="004E3818">
        <w:rPr>
          <w:color w:val="000000"/>
          <w:sz w:val="28"/>
          <w:szCs w:val="28"/>
        </w:rPr>
        <w:t>,</w:t>
      </w:r>
      <w:r w:rsidR="00AF1819" w:rsidRPr="00AF1819">
        <w:rPr>
          <w:color w:val="000000"/>
          <w:sz w:val="28"/>
          <w:szCs w:val="28"/>
        </w:rPr>
        <w:t xml:space="preserve"> </w:t>
      </w:r>
      <w:r w:rsidR="00AF1819">
        <w:rPr>
          <w:color w:val="000000"/>
          <w:sz w:val="28"/>
          <w:szCs w:val="28"/>
        </w:rPr>
        <w:t xml:space="preserve">являются </w:t>
      </w:r>
      <w:r w:rsidR="00AF1819" w:rsidRPr="00AF1819">
        <w:rPr>
          <w:color w:val="000000"/>
          <w:sz w:val="28"/>
          <w:szCs w:val="28"/>
        </w:rPr>
        <w:t xml:space="preserve">подразделения АО «Почта России». </w:t>
      </w:r>
      <w:r w:rsidR="00AF1819" w:rsidRPr="00AF1819">
        <w:rPr>
          <w:sz w:val="28"/>
          <w:szCs w:val="28"/>
        </w:rPr>
        <w:t xml:space="preserve">Из </w:t>
      </w:r>
      <w:r w:rsidR="00BF7B4F" w:rsidRPr="00BF7B4F">
        <w:rPr>
          <w:sz w:val="28"/>
          <w:szCs w:val="28"/>
        </w:rPr>
        <w:t>612</w:t>
      </w:r>
      <w:r w:rsidR="00AF1819" w:rsidRPr="0079653E">
        <w:rPr>
          <w:color w:val="FF0000"/>
          <w:sz w:val="28"/>
          <w:szCs w:val="28"/>
        </w:rPr>
        <w:t xml:space="preserve"> </w:t>
      </w:r>
      <w:r w:rsidR="00AF1819" w:rsidRPr="00AF1819">
        <w:rPr>
          <w:sz w:val="28"/>
          <w:szCs w:val="28"/>
        </w:rPr>
        <w:t>подразделений</w:t>
      </w:r>
      <w:r w:rsidR="00AF1819" w:rsidRPr="00AF1819">
        <w:rPr>
          <w:color w:val="000000"/>
          <w:sz w:val="28"/>
          <w:szCs w:val="28"/>
        </w:rPr>
        <w:t xml:space="preserve">, осуществляющих деятельность на территории края, в </w:t>
      </w:r>
      <w:r w:rsidR="0079653E">
        <w:rPr>
          <w:sz w:val="28"/>
          <w:szCs w:val="28"/>
        </w:rPr>
        <w:t>611</w:t>
      </w:r>
      <w:r w:rsidR="00AF1819" w:rsidRPr="00AF1819">
        <w:rPr>
          <w:sz w:val="28"/>
          <w:szCs w:val="28"/>
        </w:rPr>
        <w:t xml:space="preserve"> </w:t>
      </w:r>
      <w:r w:rsidR="00AF1819" w:rsidRPr="00AF1819">
        <w:rPr>
          <w:color w:val="000000"/>
          <w:sz w:val="28"/>
          <w:szCs w:val="28"/>
        </w:rPr>
        <w:t>оказываются финансовые услуги. При этом используются форматы обслуживания с участием работников банка или с участием работников почты, с предоставлением различного набора услуг: от получения наличных денег по картам, эмитированным кредитными организациями, до открытия счетов, оформления вкладов, депозитов, кредитов.</w:t>
      </w:r>
    </w:p>
    <w:p w14:paraId="1AB419D6" w14:textId="2A324A92" w:rsidR="00926CA3" w:rsidRDefault="00762E29" w:rsidP="00762E29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 w:rsidRPr="00762E29">
        <w:rPr>
          <w:color w:val="000000"/>
          <w:sz w:val="28"/>
          <w:szCs w:val="28"/>
        </w:rPr>
        <w:t>Учитывая</w:t>
      </w:r>
      <w:r>
        <w:rPr>
          <w:color w:val="000000"/>
          <w:sz w:val="28"/>
          <w:szCs w:val="28"/>
        </w:rPr>
        <w:t xml:space="preserve"> характер услуг, предоставляемых МФЦ, важным для жителей края является возможность произвести оплату государственной пошлины и иных платежей на месте, то есть в соответствии с полноценным принципом «одного окна», что, в свою очередь, на фоне сложившейся эпидемиологической ситуации видится актуальным и значимым. </w:t>
      </w:r>
      <w:r>
        <w:rPr>
          <w:sz w:val="28"/>
          <w:szCs w:val="28"/>
        </w:rPr>
        <w:t>По состоянию на 01.04.2021 на территории Ставропольского края функционируют ГКУ СК «МФЦ» (два офиса)</w:t>
      </w:r>
      <w:r w:rsidR="004E3818">
        <w:rPr>
          <w:sz w:val="28"/>
          <w:szCs w:val="28"/>
        </w:rPr>
        <w:t>,</w:t>
      </w:r>
      <w:r>
        <w:rPr>
          <w:sz w:val="28"/>
          <w:szCs w:val="28"/>
        </w:rPr>
        <w:t xml:space="preserve"> 38 МФЦ, 239 ТОСП</w:t>
      </w:r>
      <w:r>
        <w:rPr>
          <w:rStyle w:val="ae"/>
          <w:sz w:val="28"/>
          <w:szCs w:val="28"/>
        </w:rPr>
        <w:footnoteReference w:id="1"/>
      </w:r>
      <w:r>
        <w:rPr>
          <w:sz w:val="28"/>
          <w:szCs w:val="28"/>
        </w:rPr>
        <w:t xml:space="preserve"> с общим количеством окон обслуживания 678 единиц.</w:t>
      </w:r>
      <w:r w:rsidR="00B5716B">
        <w:rPr>
          <w:sz w:val="28"/>
          <w:szCs w:val="28"/>
        </w:rPr>
        <w:t xml:space="preserve"> </w:t>
      </w:r>
      <w:r w:rsidR="00281177">
        <w:rPr>
          <w:sz w:val="28"/>
          <w:szCs w:val="28"/>
        </w:rPr>
        <w:t>Всего устройст</w:t>
      </w:r>
      <w:r w:rsidR="004E3818">
        <w:rPr>
          <w:sz w:val="28"/>
          <w:szCs w:val="28"/>
        </w:rPr>
        <w:t xml:space="preserve">вами по приему платежных карт </w:t>
      </w:r>
      <w:r w:rsidR="00281177">
        <w:rPr>
          <w:sz w:val="28"/>
          <w:szCs w:val="28"/>
        </w:rPr>
        <w:t xml:space="preserve">оснащено </w:t>
      </w:r>
      <w:r w:rsidR="004E3818">
        <w:rPr>
          <w:sz w:val="28"/>
          <w:szCs w:val="28"/>
        </w:rPr>
        <w:t>более 88</w:t>
      </w:r>
      <w:r w:rsidR="00281177">
        <w:rPr>
          <w:sz w:val="28"/>
          <w:szCs w:val="28"/>
        </w:rPr>
        <w:t xml:space="preserve">% от общего числа подразделений. Только за последний год </w:t>
      </w:r>
      <w:r w:rsidR="00862CBD">
        <w:rPr>
          <w:sz w:val="28"/>
          <w:szCs w:val="28"/>
        </w:rPr>
        <w:t xml:space="preserve">в подразделениях МФЦ </w:t>
      </w:r>
      <w:r w:rsidR="00862CBD">
        <w:rPr>
          <w:sz w:val="28"/>
          <w:szCs w:val="28"/>
        </w:rPr>
        <w:lastRenderedPageBreak/>
        <w:t>было установлено свыше 630 электронных терминалов. Наряд</w:t>
      </w:r>
      <w:r w:rsidR="00605673">
        <w:rPr>
          <w:sz w:val="28"/>
          <w:szCs w:val="28"/>
        </w:rPr>
        <w:t>у</w:t>
      </w:r>
      <w:r w:rsidR="00862CBD">
        <w:rPr>
          <w:sz w:val="28"/>
          <w:szCs w:val="28"/>
        </w:rPr>
        <w:t xml:space="preserve"> с оснащение</w:t>
      </w:r>
      <w:r w:rsidR="00605673">
        <w:rPr>
          <w:sz w:val="28"/>
          <w:szCs w:val="28"/>
        </w:rPr>
        <w:t>м</w:t>
      </w:r>
      <w:r w:rsidR="00862CBD">
        <w:rPr>
          <w:sz w:val="28"/>
          <w:szCs w:val="28"/>
        </w:rPr>
        <w:t xml:space="preserve"> окон МФЦ устройствами по приему платежных карт</w:t>
      </w:r>
      <w:r w:rsidR="00605673">
        <w:rPr>
          <w:sz w:val="28"/>
          <w:szCs w:val="28"/>
        </w:rPr>
        <w:t xml:space="preserve"> расширился и перечень услуг, которые можно оплатить в</w:t>
      </w:r>
      <w:r w:rsidR="004E3818">
        <w:rPr>
          <w:sz w:val="28"/>
          <w:szCs w:val="28"/>
        </w:rPr>
        <w:t xml:space="preserve"> МФЦ посредством платежных карт, в первую очередь за счет возможности оплаты</w:t>
      </w:r>
      <w:r w:rsidR="00605673">
        <w:rPr>
          <w:sz w:val="28"/>
          <w:szCs w:val="28"/>
        </w:rPr>
        <w:t xml:space="preserve"> </w:t>
      </w:r>
      <w:r w:rsidR="0084751E" w:rsidRPr="00762E29">
        <w:rPr>
          <w:sz w:val="28"/>
          <w:szCs w:val="28"/>
        </w:rPr>
        <w:t>жилищно-коммунальны</w:t>
      </w:r>
      <w:r w:rsidR="00605673">
        <w:rPr>
          <w:sz w:val="28"/>
          <w:szCs w:val="28"/>
        </w:rPr>
        <w:t>х</w:t>
      </w:r>
      <w:r w:rsidR="0084751E" w:rsidRPr="00762E29">
        <w:rPr>
          <w:sz w:val="28"/>
          <w:szCs w:val="28"/>
        </w:rPr>
        <w:t xml:space="preserve"> услуг</w:t>
      </w:r>
      <w:r w:rsidR="00605673">
        <w:rPr>
          <w:sz w:val="28"/>
          <w:szCs w:val="28"/>
        </w:rPr>
        <w:t>.</w:t>
      </w:r>
    </w:p>
    <w:p w14:paraId="599E7AE0" w14:textId="2CA7CF33" w:rsidR="00577C78" w:rsidRDefault="00AE7130" w:rsidP="00F204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условиях сложной эпидемиологической обстановки н</w:t>
      </w:r>
      <w:r w:rsidRPr="00AE7130">
        <w:rPr>
          <w:rFonts w:ascii="Times New Roman" w:hAnsi="Times New Roman" w:cs="Times New Roman"/>
          <w:sz w:val="28"/>
          <w:szCs w:val="28"/>
        </w:rPr>
        <w:t>е менее значимым является проект</w:t>
      </w:r>
      <w:r w:rsidR="00832C71">
        <w:rPr>
          <w:rFonts w:ascii="Times New Roman" w:hAnsi="Times New Roman" w:cs="Times New Roman"/>
          <w:sz w:val="28"/>
          <w:szCs w:val="28"/>
        </w:rPr>
        <w:t xml:space="preserve"> </w:t>
      </w:r>
      <w:r w:rsidRPr="00AE7130">
        <w:rPr>
          <w:rFonts w:ascii="Times New Roman" w:hAnsi="Times New Roman" w:cs="Times New Roman"/>
          <w:sz w:val="28"/>
          <w:szCs w:val="28"/>
        </w:rPr>
        <w:t xml:space="preserve">по размещению устройств по приему платежных карт в общественном транспорте. </w:t>
      </w:r>
      <w:r w:rsidR="00832C71">
        <w:rPr>
          <w:rFonts w:ascii="Times New Roman" w:hAnsi="Times New Roman" w:cs="Times New Roman"/>
          <w:sz w:val="28"/>
          <w:szCs w:val="28"/>
        </w:rPr>
        <w:t>С</w:t>
      </w:r>
      <w:r w:rsidRPr="00AE7130">
        <w:rPr>
          <w:rFonts w:ascii="Times New Roman" w:hAnsi="Times New Roman" w:cs="Times New Roman"/>
          <w:sz w:val="28"/>
          <w:szCs w:val="28"/>
        </w:rPr>
        <w:t xml:space="preserve"> момента старта проекта – декабрь 2017 года, электронными терминалами уже оснащено </w:t>
      </w:r>
      <w:r w:rsidR="00044586">
        <w:rPr>
          <w:rFonts w:ascii="Times New Roman" w:hAnsi="Times New Roman" w:cs="Times New Roman"/>
          <w:sz w:val="28"/>
          <w:szCs w:val="28"/>
        </w:rPr>
        <w:t>519</w:t>
      </w:r>
      <w:r w:rsidRPr="00AE7130">
        <w:rPr>
          <w:rFonts w:ascii="Times New Roman" w:hAnsi="Times New Roman" w:cs="Times New Roman"/>
          <w:sz w:val="28"/>
          <w:szCs w:val="28"/>
        </w:rPr>
        <w:t xml:space="preserve"> «бортов».</w:t>
      </w:r>
      <w:r w:rsidR="00044586">
        <w:rPr>
          <w:rFonts w:ascii="Times New Roman" w:hAnsi="Times New Roman" w:cs="Times New Roman"/>
          <w:sz w:val="28"/>
          <w:szCs w:val="28"/>
        </w:rPr>
        <w:t xml:space="preserve"> </w:t>
      </w:r>
      <w:r w:rsidR="00243D46">
        <w:rPr>
          <w:rFonts w:ascii="Times New Roman" w:hAnsi="Times New Roman" w:cs="Times New Roman"/>
          <w:sz w:val="28"/>
          <w:szCs w:val="28"/>
        </w:rPr>
        <w:t>О том, что привычка платить «безналом» в транспорте формируется все у большего числа жителей края свидетельствует рост числа операций по безналичной оплате проезда</w:t>
      </w:r>
      <w:r w:rsidR="00577C78">
        <w:rPr>
          <w:rFonts w:ascii="Times New Roman" w:hAnsi="Times New Roman" w:cs="Times New Roman"/>
          <w:sz w:val="28"/>
          <w:szCs w:val="28"/>
        </w:rPr>
        <w:t>.</w:t>
      </w:r>
      <w:r w:rsidR="00243D46">
        <w:rPr>
          <w:rFonts w:ascii="Times New Roman" w:hAnsi="Times New Roman" w:cs="Times New Roman"/>
          <w:sz w:val="28"/>
          <w:szCs w:val="28"/>
        </w:rPr>
        <w:t xml:space="preserve"> </w:t>
      </w:r>
      <w:r w:rsidR="00577C78" w:rsidRPr="00577C78">
        <w:rPr>
          <w:rFonts w:ascii="Times New Roman" w:hAnsi="Times New Roman" w:cs="Times New Roman"/>
          <w:sz w:val="28"/>
          <w:szCs w:val="28"/>
        </w:rPr>
        <w:t>Е</w:t>
      </w:r>
      <w:r w:rsidR="00577C78" w:rsidRPr="00577C78">
        <w:rPr>
          <w:rFonts w:ascii="Times New Roman" w:hAnsi="Times New Roman" w:cs="Times New Roman"/>
          <w:color w:val="000000" w:themeColor="text1"/>
          <w:sz w:val="28"/>
          <w:szCs w:val="28"/>
        </w:rPr>
        <w:t>сли в апреле 2020 года</w:t>
      </w:r>
      <w:r w:rsidR="001E0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жителями края </w:t>
      </w:r>
      <w:r w:rsidR="00577C78" w:rsidRPr="00577C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было совершено 36 724 операции по безналичной оплате проезда, в январе 2021 года – 293 458 транзакций, то в апреле 2021 года эта цифра превысила 500 тысяч операций. </w:t>
      </w:r>
    </w:p>
    <w:p w14:paraId="1DD09D7F" w14:textId="5A2EFD68" w:rsidR="001E052B" w:rsidRPr="00E4510B" w:rsidRDefault="00F20469" w:rsidP="00F20469">
      <w:pPr>
        <w:pStyle w:val="Standard"/>
        <w:spacing w:line="360" w:lineRule="auto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Также внимания заслуживает проект «Безналичная оплата школьного питания». </w:t>
      </w:r>
      <w:r w:rsidR="00E820AD">
        <w:rPr>
          <w:color w:val="000000"/>
          <w:szCs w:val="28"/>
        </w:rPr>
        <w:t>Учитывая, что в</w:t>
      </w:r>
      <w:r>
        <w:rPr>
          <w:color w:val="000000"/>
          <w:szCs w:val="28"/>
        </w:rPr>
        <w:t xml:space="preserve"> большинстве школ Ставропольского края оплата питания организована только посредством сбора наличных денежных средств с родителей и учеников с вов</w:t>
      </w:r>
      <w:r w:rsidR="00E820AD">
        <w:rPr>
          <w:color w:val="000000"/>
          <w:szCs w:val="28"/>
        </w:rPr>
        <w:t>лечением классных руководителей, а</w:t>
      </w:r>
      <w:r>
        <w:rPr>
          <w:color w:val="000000"/>
          <w:szCs w:val="28"/>
        </w:rPr>
        <w:t xml:space="preserve"> </w:t>
      </w:r>
      <w:r w:rsidR="00E820AD">
        <w:rPr>
          <w:color w:val="000000"/>
          <w:szCs w:val="28"/>
        </w:rPr>
        <w:t>д</w:t>
      </w:r>
      <w:r w:rsidR="001E052B">
        <w:rPr>
          <w:color w:val="000000"/>
          <w:szCs w:val="28"/>
        </w:rPr>
        <w:t xml:space="preserve">анная схема </w:t>
      </w:r>
      <w:r w:rsidR="00A54164">
        <w:rPr>
          <w:color w:val="000000"/>
          <w:szCs w:val="28"/>
        </w:rPr>
        <w:t>не только трудоемка и малоэффективна, но и рискованна</w:t>
      </w:r>
      <w:r w:rsidR="004E3818">
        <w:rPr>
          <w:color w:val="000000"/>
          <w:szCs w:val="28"/>
        </w:rPr>
        <w:t>,</w:t>
      </w:r>
      <w:r w:rsidR="00E4510B">
        <w:rPr>
          <w:color w:val="000000"/>
          <w:szCs w:val="28"/>
        </w:rPr>
        <w:t xml:space="preserve"> </w:t>
      </w:r>
      <w:r w:rsidR="00E820AD">
        <w:rPr>
          <w:color w:val="000000"/>
          <w:szCs w:val="28"/>
        </w:rPr>
        <w:t>в 204 школах на территории 25 муниципальных образований края реализован проект «Безналичная оплата школьного питания»</w:t>
      </w:r>
      <w:r w:rsidR="00220757">
        <w:rPr>
          <w:color w:val="000000"/>
          <w:szCs w:val="28"/>
        </w:rPr>
        <w:t xml:space="preserve">. Согласно действующей схеме информационно-технологического взаимодействия между кредитной организацией </w:t>
      </w:r>
      <w:r w:rsidR="00220757" w:rsidRPr="00577C78">
        <w:rPr>
          <w:color w:val="000000" w:themeColor="text1"/>
          <w:szCs w:val="28"/>
        </w:rPr>
        <w:t>–</w:t>
      </w:r>
      <w:r w:rsidR="00220757">
        <w:rPr>
          <w:color w:val="000000" w:themeColor="text1"/>
          <w:szCs w:val="28"/>
        </w:rPr>
        <w:t xml:space="preserve"> </w:t>
      </w:r>
      <w:r w:rsidR="00220757">
        <w:rPr>
          <w:color w:val="000000"/>
          <w:szCs w:val="28"/>
        </w:rPr>
        <w:t>владельцем проекта и школой, реализована возможность производить безналичную оплату школьного питания во всех каналах банка. Внедрение подобных схем в разы повышает прозрачность и управляемость денежными потоками</w:t>
      </w:r>
      <w:r w:rsidR="004F4EBF">
        <w:rPr>
          <w:color w:val="000000"/>
          <w:szCs w:val="28"/>
        </w:rPr>
        <w:t>. Кроме того, сервис удобен для родителей, детей, а также снижает наг</w:t>
      </w:r>
      <w:r w:rsidR="004E3818">
        <w:rPr>
          <w:color w:val="000000"/>
          <w:szCs w:val="28"/>
        </w:rPr>
        <w:t>рузку на классных руководителей</w:t>
      </w:r>
      <w:r w:rsidR="004F4EBF">
        <w:rPr>
          <w:color w:val="000000"/>
          <w:szCs w:val="28"/>
        </w:rPr>
        <w:t xml:space="preserve"> в части сбора денежных средств </w:t>
      </w:r>
      <w:r w:rsidR="004E3818">
        <w:rPr>
          <w:color w:val="000000"/>
          <w:szCs w:val="28"/>
        </w:rPr>
        <w:lastRenderedPageBreak/>
        <w:t>на питание</w:t>
      </w:r>
      <w:r w:rsidR="004F4EBF">
        <w:rPr>
          <w:color w:val="000000"/>
          <w:szCs w:val="28"/>
        </w:rPr>
        <w:t>.</w:t>
      </w:r>
      <w:r w:rsidR="00E155B4">
        <w:rPr>
          <w:color w:val="000000"/>
          <w:szCs w:val="28"/>
        </w:rPr>
        <w:t xml:space="preserve"> В перспективе </w:t>
      </w:r>
      <w:r w:rsidR="004E3818">
        <w:rPr>
          <w:color w:val="000000"/>
          <w:szCs w:val="28"/>
        </w:rPr>
        <w:t xml:space="preserve">возможно </w:t>
      </w:r>
      <w:r w:rsidR="00E155B4">
        <w:rPr>
          <w:color w:val="000000"/>
          <w:szCs w:val="28"/>
        </w:rPr>
        <w:t>включить в схему учет бюджетных средств, выделяемых на оплату школьного питания в начальных классах.</w:t>
      </w:r>
      <w:r w:rsidR="00E750D6">
        <w:rPr>
          <w:color w:val="000000"/>
          <w:szCs w:val="28"/>
        </w:rPr>
        <w:t xml:space="preserve"> </w:t>
      </w:r>
    </w:p>
    <w:p w14:paraId="1D8947B5" w14:textId="57A8013A" w:rsidR="00444B55" w:rsidRDefault="00E750D6">
      <w:pPr>
        <w:pStyle w:val="Standard"/>
        <w:spacing w:line="360" w:lineRule="auto"/>
        <w:ind w:firstLine="709"/>
        <w:jc w:val="both"/>
        <w:rPr>
          <w:szCs w:val="28"/>
        </w:rPr>
      </w:pPr>
      <w:r>
        <w:rPr>
          <w:color w:val="000000"/>
          <w:szCs w:val="28"/>
        </w:rPr>
        <w:t>В этом ряду также следует отметить</w:t>
      </w:r>
      <w:r w:rsidRPr="00101F2B">
        <w:rPr>
          <w:szCs w:val="28"/>
        </w:rPr>
        <w:t xml:space="preserve"> </w:t>
      </w:r>
      <w:r>
        <w:rPr>
          <w:szCs w:val="28"/>
        </w:rPr>
        <w:t>важнейший инфраструктурный проект Система быстрых платежей</w:t>
      </w:r>
      <w:r w:rsidR="00444B55">
        <w:rPr>
          <w:szCs w:val="28"/>
        </w:rPr>
        <w:t xml:space="preserve"> (СБП)</w:t>
      </w:r>
      <w:r>
        <w:rPr>
          <w:szCs w:val="28"/>
        </w:rPr>
        <w:t>. В настоящее вре</w:t>
      </w:r>
      <w:r w:rsidR="00D16BFD">
        <w:rPr>
          <w:szCs w:val="28"/>
        </w:rPr>
        <w:t xml:space="preserve">мя сервис реализован в форматах </w:t>
      </w:r>
      <w:r>
        <w:rPr>
          <w:szCs w:val="28"/>
          <w:lang w:val="en-US"/>
        </w:rPr>
        <w:t>C</w:t>
      </w:r>
      <w:r>
        <w:rPr>
          <w:szCs w:val="28"/>
        </w:rPr>
        <w:t xml:space="preserve">2С - переводы физических лиц в пользу физических лиц и </w:t>
      </w:r>
      <w:r>
        <w:rPr>
          <w:szCs w:val="28"/>
          <w:lang w:val="en-US"/>
        </w:rPr>
        <w:t>C</w:t>
      </w:r>
      <w:r>
        <w:rPr>
          <w:szCs w:val="28"/>
        </w:rPr>
        <w:t>2</w:t>
      </w:r>
      <w:r>
        <w:rPr>
          <w:szCs w:val="28"/>
          <w:lang w:val="en-US"/>
        </w:rPr>
        <w:t>B</w:t>
      </w:r>
      <w:r w:rsidRPr="00E750D6">
        <w:rPr>
          <w:szCs w:val="28"/>
        </w:rPr>
        <w:t xml:space="preserve"> –</w:t>
      </w:r>
      <w:r>
        <w:rPr>
          <w:szCs w:val="28"/>
        </w:rPr>
        <w:t xml:space="preserve"> переводы физических лиц в пользу юридических лиц. </w:t>
      </w:r>
      <w:r w:rsidR="004E3818">
        <w:rPr>
          <w:szCs w:val="28"/>
        </w:rPr>
        <w:t xml:space="preserve">СБП </w:t>
      </w:r>
      <w:r w:rsidR="00444B55">
        <w:rPr>
          <w:szCs w:val="28"/>
        </w:rPr>
        <w:t xml:space="preserve">позволяет физическим лицам мгновенно (в режиме 24/7) совершать межбанковские переводы по номеру мобильного телефона себе или другим людям. При этом если переводы между физическими лицами по Системе быстрых платежей достаточно известный финансовый сервис и количество его пользователей растет с каждым днем, то формат </w:t>
      </w:r>
      <w:r w:rsidR="00444B55">
        <w:rPr>
          <w:szCs w:val="28"/>
          <w:lang w:val="en-US"/>
        </w:rPr>
        <w:t>C</w:t>
      </w:r>
      <w:r w:rsidR="00444B55">
        <w:rPr>
          <w:szCs w:val="28"/>
        </w:rPr>
        <w:t>2</w:t>
      </w:r>
      <w:r w:rsidR="00444B55">
        <w:rPr>
          <w:szCs w:val="28"/>
          <w:lang w:val="en-US"/>
        </w:rPr>
        <w:t>B</w:t>
      </w:r>
      <w:r w:rsidR="00915467">
        <w:rPr>
          <w:szCs w:val="28"/>
        </w:rPr>
        <w:t xml:space="preserve"> только</w:t>
      </w:r>
      <w:r w:rsidR="004E3818">
        <w:rPr>
          <w:szCs w:val="28"/>
        </w:rPr>
        <w:t xml:space="preserve"> начинает внедряться</w:t>
      </w:r>
      <w:r w:rsidR="00915467">
        <w:rPr>
          <w:szCs w:val="28"/>
        </w:rPr>
        <w:t xml:space="preserve">. </w:t>
      </w:r>
      <w:r w:rsidR="00A11B79">
        <w:rPr>
          <w:szCs w:val="28"/>
        </w:rPr>
        <w:t>К основным преимуществам сервиса СБП для бизнеса можно отнести</w:t>
      </w:r>
      <w:r w:rsidR="004E3818">
        <w:rPr>
          <w:szCs w:val="28"/>
        </w:rPr>
        <w:t xml:space="preserve"> низкую</w:t>
      </w:r>
      <w:r w:rsidR="00A11B79">
        <w:rPr>
          <w:szCs w:val="28"/>
        </w:rPr>
        <w:t xml:space="preserve"> комисси</w:t>
      </w:r>
      <w:r w:rsidR="004E3818">
        <w:rPr>
          <w:szCs w:val="28"/>
        </w:rPr>
        <w:t>ю</w:t>
      </w:r>
      <w:r w:rsidR="00A11B79">
        <w:rPr>
          <w:szCs w:val="28"/>
        </w:rPr>
        <w:t xml:space="preserve"> по платежам. Банк России установил максимальный уровень комиссий, которые банки могут взымать в торгово-сервисных предприятиях при оплате товаров и услуг</w:t>
      </w:r>
      <w:r w:rsidR="004E3818">
        <w:rPr>
          <w:szCs w:val="28"/>
        </w:rPr>
        <w:t>,</w:t>
      </w:r>
      <w:r w:rsidR="00A11B79">
        <w:rPr>
          <w:szCs w:val="28"/>
        </w:rPr>
        <w:t xml:space="preserve"> на уровне 0,7% от суммы платежа. Если сравнивать с</w:t>
      </w:r>
      <w:r w:rsidR="004E3818">
        <w:rPr>
          <w:szCs w:val="28"/>
        </w:rPr>
        <w:t xml:space="preserve"> комиссией банков по </w:t>
      </w:r>
      <w:proofErr w:type="spellStart"/>
      <w:r w:rsidR="004E3818">
        <w:rPr>
          <w:szCs w:val="28"/>
        </w:rPr>
        <w:t>эквайрингу</w:t>
      </w:r>
      <w:proofErr w:type="spellEnd"/>
      <w:r w:rsidR="000F5B48">
        <w:rPr>
          <w:szCs w:val="28"/>
        </w:rPr>
        <w:t xml:space="preserve"> </w:t>
      </w:r>
      <w:r w:rsidR="004E3818">
        <w:rPr>
          <w:szCs w:val="28"/>
        </w:rPr>
        <w:t xml:space="preserve"> - это</w:t>
      </w:r>
      <w:r w:rsidR="00A11B79">
        <w:rPr>
          <w:szCs w:val="28"/>
        </w:rPr>
        <w:t xml:space="preserve"> почти в 2,5 раза ниже.</w:t>
      </w:r>
      <w:r w:rsidR="004E3818">
        <w:rPr>
          <w:szCs w:val="28"/>
        </w:rPr>
        <w:t xml:space="preserve"> Кроме того, </w:t>
      </w:r>
      <w:r w:rsidR="00A11B79">
        <w:rPr>
          <w:szCs w:val="28"/>
        </w:rPr>
        <w:t>для подключения к СБП не требуе</w:t>
      </w:r>
      <w:r w:rsidR="004E3818">
        <w:rPr>
          <w:szCs w:val="28"/>
        </w:rPr>
        <w:t xml:space="preserve">тся дополнительное оборудование, при этом </w:t>
      </w:r>
      <w:r w:rsidR="00A11B79">
        <w:rPr>
          <w:szCs w:val="28"/>
        </w:rPr>
        <w:t xml:space="preserve">переводы осуществляются почти моментально, т.е. практически через 15 секунд деньги поступают на счет продавца, что снижает кассовые разрывы. </w:t>
      </w:r>
      <w:r w:rsidR="000F5B48">
        <w:rPr>
          <w:szCs w:val="28"/>
        </w:rPr>
        <w:t xml:space="preserve"> Еще одним</w:t>
      </w:r>
      <w:r w:rsidR="00A11B79">
        <w:rPr>
          <w:szCs w:val="28"/>
        </w:rPr>
        <w:t xml:space="preserve"> преимуществом является доступность системы</w:t>
      </w:r>
      <w:r w:rsidR="00D16BFD">
        <w:rPr>
          <w:szCs w:val="28"/>
        </w:rPr>
        <w:t xml:space="preserve">, </w:t>
      </w:r>
      <w:r w:rsidR="004E3818">
        <w:rPr>
          <w:szCs w:val="28"/>
        </w:rPr>
        <w:t xml:space="preserve">пользователем которой может стать любой представитель бизнеса, независимо от объема совершаемых операций. </w:t>
      </w:r>
    </w:p>
    <w:p w14:paraId="218C1493" w14:textId="34DC8A59" w:rsidR="006C009C" w:rsidRPr="006C009C" w:rsidRDefault="006C009C">
      <w:pPr>
        <w:pStyle w:val="Standard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Рассматривая альтернативные </w:t>
      </w:r>
      <w:proofErr w:type="spellStart"/>
      <w:r>
        <w:rPr>
          <w:szCs w:val="28"/>
        </w:rPr>
        <w:t>эквайрингу</w:t>
      </w:r>
      <w:proofErr w:type="spellEnd"/>
      <w:r w:rsidR="004E3818">
        <w:rPr>
          <w:szCs w:val="28"/>
        </w:rPr>
        <w:t xml:space="preserve"> проекты</w:t>
      </w:r>
      <w:r>
        <w:rPr>
          <w:szCs w:val="28"/>
        </w:rPr>
        <w:t xml:space="preserve"> следует отметить проект </w:t>
      </w:r>
      <w:r w:rsidR="004E3818">
        <w:rPr>
          <w:szCs w:val="28"/>
        </w:rPr>
        <w:t>«</w:t>
      </w:r>
      <w:r>
        <w:rPr>
          <w:szCs w:val="28"/>
        </w:rPr>
        <w:t xml:space="preserve">Плати </w:t>
      </w:r>
      <w:r>
        <w:rPr>
          <w:szCs w:val="28"/>
          <w:lang w:val="en-US"/>
        </w:rPr>
        <w:t>QR</w:t>
      </w:r>
      <w:r w:rsidR="004E3818">
        <w:rPr>
          <w:szCs w:val="28"/>
        </w:rPr>
        <w:t>»</w:t>
      </w:r>
      <w:r>
        <w:rPr>
          <w:szCs w:val="28"/>
        </w:rPr>
        <w:t xml:space="preserve">. Оплата покупок по </w:t>
      </w:r>
      <w:r>
        <w:rPr>
          <w:szCs w:val="28"/>
          <w:lang w:val="en-US"/>
        </w:rPr>
        <w:t>QR</w:t>
      </w:r>
      <w:r>
        <w:rPr>
          <w:szCs w:val="28"/>
        </w:rPr>
        <w:t xml:space="preserve">-коду – сервис, позволяющий покупателю посредством считывания </w:t>
      </w:r>
      <w:r>
        <w:rPr>
          <w:szCs w:val="28"/>
          <w:lang w:val="en-US"/>
        </w:rPr>
        <w:t>QR</w:t>
      </w:r>
      <w:r w:rsidRPr="006C009C">
        <w:rPr>
          <w:szCs w:val="28"/>
        </w:rPr>
        <w:t>-</w:t>
      </w:r>
      <w:r>
        <w:rPr>
          <w:szCs w:val="28"/>
        </w:rPr>
        <w:t>кода, размещенного продавцом, оплатить товар/услугу там, где отсутствует</w:t>
      </w:r>
      <w:r w:rsidR="004E3818">
        <w:rPr>
          <w:szCs w:val="28"/>
        </w:rPr>
        <w:t xml:space="preserve"> электронный тер</w:t>
      </w:r>
      <w:r w:rsidR="00DF0EFF">
        <w:rPr>
          <w:szCs w:val="28"/>
        </w:rPr>
        <w:t>минал</w:t>
      </w:r>
      <w:r>
        <w:rPr>
          <w:szCs w:val="28"/>
        </w:rPr>
        <w:t xml:space="preserve">, например, в небольших парикмахерских, продуктовых и бытовых магазинах в формате «у </w:t>
      </w:r>
      <w:r>
        <w:rPr>
          <w:szCs w:val="28"/>
        </w:rPr>
        <w:lastRenderedPageBreak/>
        <w:t>дома». Сервис уже оценили предприниматели, так</w:t>
      </w:r>
      <w:r w:rsidR="00BB5AC8">
        <w:rPr>
          <w:szCs w:val="28"/>
        </w:rPr>
        <w:t xml:space="preserve"> на 01.04.2021 на территории края подобная технология оплаты реализована уже более чем в 6700 торгово-сервисных предприятиях, из них 2100 точек подключены в 2021 году. Основным преимуществом сервиса является </w:t>
      </w:r>
      <w:r w:rsidR="00530804">
        <w:rPr>
          <w:szCs w:val="28"/>
        </w:rPr>
        <w:t>более низкая комиссия, взимаемая банком-</w:t>
      </w:r>
      <w:proofErr w:type="spellStart"/>
      <w:r w:rsidR="00530804">
        <w:rPr>
          <w:szCs w:val="28"/>
        </w:rPr>
        <w:t>эквайрером</w:t>
      </w:r>
      <w:proofErr w:type="spellEnd"/>
      <w:r w:rsidR="00530804">
        <w:rPr>
          <w:szCs w:val="28"/>
        </w:rPr>
        <w:t xml:space="preserve"> и отсутствие платы за обслуживание устройства. </w:t>
      </w:r>
    </w:p>
    <w:p w14:paraId="363FCEEE" w14:textId="77777777" w:rsidR="00BB5E92" w:rsidRDefault="00BB5E92">
      <w:pPr>
        <w:pStyle w:val="Standard"/>
        <w:spacing w:line="360" w:lineRule="auto"/>
        <w:ind w:firstLine="708"/>
        <w:jc w:val="both"/>
      </w:pPr>
    </w:p>
    <w:sectPr w:rsidR="00BB5E92" w:rsidSect="005515BD">
      <w:headerReference w:type="default" r:id="rId8"/>
      <w:footerReference w:type="even" r:id="rId9"/>
      <w:pgSz w:w="12240" w:h="15840" w:code="1"/>
      <w:pgMar w:top="1560" w:right="900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BCCF6" w14:textId="77777777" w:rsidR="00B7191D" w:rsidRDefault="00B7191D">
      <w:pPr>
        <w:spacing w:after="0" w:line="240" w:lineRule="auto"/>
      </w:pPr>
      <w:r>
        <w:separator/>
      </w:r>
    </w:p>
  </w:endnote>
  <w:endnote w:type="continuationSeparator" w:id="0">
    <w:p w14:paraId="5FF847AB" w14:textId="77777777" w:rsidR="00B7191D" w:rsidRDefault="00B7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6942D" w14:textId="77777777" w:rsidR="00676580" w:rsidRDefault="0084751E">
    <w:pPr>
      <w:pStyle w:val="a5"/>
    </w:pPr>
    <w:r>
      <w:rPr>
        <w:noProof/>
        <w:sz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F97D18" wp14:editId="2040B02D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89538" cy="203838"/>
              <wp:effectExtent l="0" t="0" r="5712" b="5712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538" cy="20383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3CBC8A" w14:textId="7F4DA841" w:rsidR="00676580" w:rsidRDefault="0084751E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B5E92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0AF97D18"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0;margin-top:.05pt;width:7.05pt;height:16.0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" filled="f" stroked="f">
              <v:textbox style="mso-fit-shape-to-text:t" inset="0,0,0,0">
                <w:txbxContent>
                  <w:p w14:paraId="313CBC8A" w14:textId="7F4DA841" w:rsidR="00676580" w:rsidRDefault="0084751E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B5E92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5B3F7ECD" w14:textId="77777777" w:rsidR="00676580" w:rsidRDefault="00B7191D">
    <w:pPr>
      <w:pStyle w:val="Standar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241188" w14:textId="77777777" w:rsidR="00B7191D" w:rsidRDefault="00B7191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63F934C" w14:textId="77777777" w:rsidR="00B7191D" w:rsidRDefault="00B7191D">
      <w:pPr>
        <w:spacing w:after="0" w:line="240" w:lineRule="auto"/>
      </w:pPr>
      <w:r>
        <w:continuationSeparator/>
      </w:r>
    </w:p>
  </w:footnote>
  <w:footnote w:id="1">
    <w:p w14:paraId="4D8C25C3" w14:textId="73A4AB68" w:rsidR="00762E29" w:rsidRDefault="00762E29">
      <w:pPr>
        <w:pStyle w:val="a7"/>
      </w:pPr>
      <w:r>
        <w:rPr>
          <w:rStyle w:val="ae"/>
        </w:rPr>
        <w:footnoteRef/>
      </w:r>
      <w:r>
        <w:t xml:space="preserve"> Территориальное обособленное структурное подразделение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7450029"/>
      <w:docPartObj>
        <w:docPartGallery w:val="Page Numbers (Top of Page)"/>
        <w:docPartUnique/>
      </w:docPartObj>
    </w:sdtPr>
    <w:sdtEndPr/>
    <w:sdtContent>
      <w:p w14:paraId="70AE204F" w14:textId="4CAC8100" w:rsidR="00BB5E92" w:rsidRDefault="00BB5E9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5BD">
          <w:rPr>
            <w:noProof/>
          </w:rPr>
          <w:t>5</w:t>
        </w:r>
        <w:r>
          <w:fldChar w:fldCharType="end"/>
        </w:r>
      </w:p>
    </w:sdtContent>
  </w:sdt>
  <w:p w14:paraId="04DA5A49" w14:textId="77777777" w:rsidR="00BB5E92" w:rsidRDefault="00BB5E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CA3"/>
    <w:rsid w:val="00035DC9"/>
    <w:rsid w:val="00044586"/>
    <w:rsid w:val="000B4522"/>
    <w:rsid w:val="000F5B48"/>
    <w:rsid w:val="000F68C9"/>
    <w:rsid w:val="00101F2B"/>
    <w:rsid w:val="001B149C"/>
    <w:rsid w:val="001C4EC6"/>
    <w:rsid w:val="001D7C86"/>
    <w:rsid w:val="001E052B"/>
    <w:rsid w:val="001F486E"/>
    <w:rsid w:val="00220757"/>
    <w:rsid w:val="00226FFB"/>
    <w:rsid w:val="00243D46"/>
    <w:rsid w:val="00281177"/>
    <w:rsid w:val="003334EF"/>
    <w:rsid w:val="00392930"/>
    <w:rsid w:val="003D11E9"/>
    <w:rsid w:val="00404BCC"/>
    <w:rsid w:val="00417C6C"/>
    <w:rsid w:val="00421C3F"/>
    <w:rsid w:val="0043670F"/>
    <w:rsid w:val="00444B55"/>
    <w:rsid w:val="004C7B0B"/>
    <w:rsid w:val="004E3818"/>
    <w:rsid w:val="004F4EBF"/>
    <w:rsid w:val="00501219"/>
    <w:rsid w:val="005073AB"/>
    <w:rsid w:val="00516475"/>
    <w:rsid w:val="00530804"/>
    <w:rsid w:val="00544ABE"/>
    <w:rsid w:val="005515BD"/>
    <w:rsid w:val="00577C78"/>
    <w:rsid w:val="005C1DC0"/>
    <w:rsid w:val="005E26A2"/>
    <w:rsid w:val="005F2915"/>
    <w:rsid w:val="00602B5F"/>
    <w:rsid w:val="00605673"/>
    <w:rsid w:val="0062171A"/>
    <w:rsid w:val="00654817"/>
    <w:rsid w:val="006C009C"/>
    <w:rsid w:val="007054C6"/>
    <w:rsid w:val="00736AE7"/>
    <w:rsid w:val="00762E29"/>
    <w:rsid w:val="0079653E"/>
    <w:rsid w:val="0080787B"/>
    <w:rsid w:val="00832C71"/>
    <w:rsid w:val="0084751E"/>
    <w:rsid w:val="00855D1E"/>
    <w:rsid w:val="00862CBD"/>
    <w:rsid w:val="008948D8"/>
    <w:rsid w:val="008D56AC"/>
    <w:rsid w:val="00915467"/>
    <w:rsid w:val="00926CA3"/>
    <w:rsid w:val="00975D10"/>
    <w:rsid w:val="009D4314"/>
    <w:rsid w:val="00A11B79"/>
    <w:rsid w:val="00A54164"/>
    <w:rsid w:val="00A63F5B"/>
    <w:rsid w:val="00AE7130"/>
    <w:rsid w:val="00AF1819"/>
    <w:rsid w:val="00B070E2"/>
    <w:rsid w:val="00B5716B"/>
    <w:rsid w:val="00B7191D"/>
    <w:rsid w:val="00BB5AC8"/>
    <w:rsid w:val="00BB5E92"/>
    <w:rsid w:val="00BE71FB"/>
    <w:rsid w:val="00BF7B4F"/>
    <w:rsid w:val="00C62C30"/>
    <w:rsid w:val="00CF0380"/>
    <w:rsid w:val="00D16BFD"/>
    <w:rsid w:val="00D334FD"/>
    <w:rsid w:val="00D550A8"/>
    <w:rsid w:val="00DB5401"/>
    <w:rsid w:val="00DD68F4"/>
    <w:rsid w:val="00DF0EFF"/>
    <w:rsid w:val="00E155B4"/>
    <w:rsid w:val="00E4510B"/>
    <w:rsid w:val="00E750D6"/>
    <w:rsid w:val="00E820AD"/>
    <w:rsid w:val="00F054DD"/>
    <w:rsid w:val="00F20469"/>
    <w:rsid w:val="00F7531C"/>
    <w:rsid w:val="00F94966"/>
    <w:rsid w:val="00FE3F25"/>
    <w:rsid w:val="00FF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EFD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 w:line="242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footer"/>
    <w:basedOn w:val="Standard"/>
    <w:pPr>
      <w:suppressLineNumbers/>
      <w:tabs>
        <w:tab w:val="center" w:pos="4153"/>
        <w:tab w:val="right" w:pos="8306"/>
      </w:tabs>
    </w:pPr>
  </w:style>
  <w:style w:type="paragraph" w:styleId="a6">
    <w:name w:val="header"/>
    <w:basedOn w:val="Standard"/>
    <w:uiPriority w:val="99"/>
    <w:pPr>
      <w:suppressLineNumbers/>
      <w:tabs>
        <w:tab w:val="center" w:pos="4153"/>
        <w:tab w:val="right" w:pos="8306"/>
      </w:tabs>
    </w:pPr>
  </w:style>
  <w:style w:type="paragraph" w:styleId="a7">
    <w:name w:val="footnote text"/>
    <w:basedOn w:val="Standard"/>
    <w:uiPriority w:val="99"/>
    <w:rPr>
      <w:sz w:val="20"/>
    </w:rPr>
  </w:style>
  <w:style w:type="paragraph" w:styleId="a8">
    <w:name w:val="List Paragraph"/>
    <w:basedOn w:val="Standard"/>
    <w:pPr>
      <w:ind w:left="720"/>
    </w:pPr>
    <w:rPr>
      <w:sz w:val="24"/>
      <w:szCs w:val="24"/>
    </w:rPr>
  </w:style>
  <w:style w:type="paragraph" w:customStyle="1" w:styleId="1">
    <w:name w:val="Обычный1"/>
    <w:pPr>
      <w:suppressAutoHyphens/>
      <w:spacing w:before="260" w:after="0" w:line="300" w:lineRule="auto"/>
      <w:ind w:right="1200" w:firstLine="8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Standard"/>
    <w:rPr>
      <w:rFonts w:ascii="Segoe UI" w:hAnsi="Segoe UI" w:cs="Segoe UI"/>
      <w:sz w:val="18"/>
      <w:szCs w:val="18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</w:rPr>
  </w:style>
  <w:style w:type="paragraph" w:customStyle="1" w:styleId="Framecontents">
    <w:name w:val="Frame contents"/>
    <w:basedOn w:val="Textbody"/>
  </w:style>
  <w:style w:type="character" w:customStyle="1" w:styleId="aa">
    <w:name w:val="Нижний колонтитул Знак"/>
    <w:basedOn w:val="a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page number"/>
    <w:basedOn w:val="a0"/>
  </w:style>
  <w:style w:type="character" w:customStyle="1" w:styleId="ac">
    <w:name w:val="Верхний колонтитул Знак"/>
    <w:basedOn w:val="a0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Текст сноски Знак"/>
    <w:basedOn w:val="a0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rPr>
      <w:position w:val="0"/>
      <w:vertAlign w:val="superscript"/>
    </w:rPr>
  </w:style>
  <w:style w:type="character" w:customStyle="1" w:styleId="FontStyle21">
    <w:name w:val="Font Style21"/>
    <w:rPr>
      <w:rFonts w:ascii="Times New Roman" w:hAnsi="Times New Roman"/>
      <w:sz w:val="26"/>
    </w:rPr>
  </w:style>
  <w:style w:type="character" w:customStyle="1" w:styleId="af">
    <w:name w:val="Текст выноски Знак"/>
    <w:basedOn w:val="a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paragraph" w:styleId="af0">
    <w:name w:val="annotation text"/>
    <w:basedOn w:val="a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rPr>
      <w:sz w:val="20"/>
      <w:szCs w:val="20"/>
    </w:rPr>
  </w:style>
  <w:style w:type="character" w:styleId="af2">
    <w:name w:val="annotation reference"/>
    <w:basedOn w:val="a0"/>
    <w:rPr>
      <w:sz w:val="16"/>
      <w:szCs w:val="16"/>
    </w:rPr>
  </w:style>
  <w:style w:type="paragraph" w:styleId="af3">
    <w:name w:val="annotation subject"/>
    <w:basedOn w:val="af0"/>
    <w:next w:val="af0"/>
    <w:rPr>
      <w:b/>
      <w:bCs/>
    </w:rPr>
  </w:style>
  <w:style w:type="character" w:customStyle="1" w:styleId="10">
    <w:name w:val="Текст примечания Знак1"/>
    <w:basedOn w:val="a0"/>
    <w:rPr>
      <w:sz w:val="20"/>
      <w:szCs w:val="20"/>
    </w:rPr>
  </w:style>
  <w:style w:type="character" w:customStyle="1" w:styleId="af4">
    <w:name w:val="Тема примечания Знак"/>
    <w:basedOn w:val="1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 w:line="242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footer"/>
    <w:basedOn w:val="Standard"/>
    <w:pPr>
      <w:suppressLineNumbers/>
      <w:tabs>
        <w:tab w:val="center" w:pos="4153"/>
        <w:tab w:val="right" w:pos="8306"/>
      </w:tabs>
    </w:pPr>
  </w:style>
  <w:style w:type="paragraph" w:styleId="a6">
    <w:name w:val="header"/>
    <w:basedOn w:val="Standard"/>
    <w:uiPriority w:val="99"/>
    <w:pPr>
      <w:suppressLineNumbers/>
      <w:tabs>
        <w:tab w:val="center" w:pos="4153"/>
        <w:tab w:val="right" w:pos="8306"/>
      </w:tabs>
    </w:pPr>
  </w:style>
  <w:style w:type="paragraph" w:styleId="a7">
    <w:name w:val="footnote text"/>
    <w:basedOn w:val="Standard"/>
    <w:uiPriority w:val="99"/>
    <w:rPr>
      <w:sz w:val="20"/>
    </w:rPr>
  </w:style>
  <w:style w:type="paragraph" w:styleId="a8">
    <w:name w:val="List Paragraph"/>
    <w:basedOn w:val="Standard"/>
    <w:pPr>
      <w:ind w:left="720"/>
    </w:pPr>
    <w:rPr>
      <w:sz w:val="24"/>
      <w:szCs w:val="24"/>
    </w:rPr>
  </w:style>
  <w:style w:type="paragraph" w:customStyle="1" w:styleId="1">
    <w:name w:val="Обычный1"/>
    <w:pPr>
      <w:suppressAutoHyphens/>
      <w:spacing w:before="260" w:after="0" w:line="300" w:lineRule="auto"/>
      <w:ind w:right="1200" w:firstLine="8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Standard"/>
    <w:rPr>
      <w:rFonts w:ascii="Segoe UI" w:hAnsi="Segoe UI" w:cs="Segoe UI"/>
      <w:sz w:val="18"/>
      <w:szCs w:val="18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</w:rPr>
  </w:style>
  <w:style w:type="paragraph" w:customStyle="1" w:styleId="Framecontents">
    <w:name w:val="Frame contents"/>
    <w:basedOn w:val="Textbody"/>
  </w:style>
  <w:style w:type="character" w:customStyle="1" w:styleId="aa">
    <w:name w:val="Нижний колонтитул Знак"/>
    <w:basedOn w:val="a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page number"/>
    <w:basedOn w:val="a0"/>
  </w:style>
  <w:style w:type="character" w:customStyle="1" w:styleId="ac">
    <w:name w:val="Верхний колонтитул Знак"/>
    <w:basedOn w:val="a0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Текст сноски Знак"/>
    <w:basedOn w:val="a0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rPr>
      <w:position w:val="0"/>
      <w:vertAlign w:val="superscript"/>
    </w:rPr>
  </w:style>
  <w:style w:type="character" w:customStyle="1" w:styleId="FontStyle21">
    <w:name w:val="Font Style21"/>
    <w:rPr>
      <w:rFonts w:ascii="Times New Roman" w:hAnsi="Times New Roman"/>
      <w:sz w:val="26"/>
    </w:rPr>
  </w:style>
  <w:style w:type="character" w:customStyle="1" w:styleId="af">
    <w:name w:val="Текст выноски Знак"/>
    <w:basedOn w:val="a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paragraph" w:styleId="af0">
    <w:name w:val="annotation text"/>
    <w:basedOn w:val="a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rPr>
      <w:sz w:val="20"/>
      <w:szCs w:val="20"/>
    </w:rPr>
  </w:style>
  <w:style w:type="character" w:styleId="af2">
    <w:name w:val="annotation reference"/>
    <w:basedOn w:val="a0"/>
    <w:rPr>
      <w:sz w:val="16"/>
      <w:szCs w:val="16"/>
    </w:rPr>
  </w:style>
  <w:style w:type="paragraph" w:styleId="af3">
    <w:name w:val="annotation subject"/>
    <w:basedOn w:val="af0"/>
    <w:next w:val="af0"/>
    <w:rPr>
      <w:b/>
      <w:bCs/>
    </w:rPr>
  </w:style>
  <w:style w:type="character" w:customStyle="1" w:styleId="10">
    <w:name w:val="Текст примечания Знак1"/>
    <w:basedOn w:val="a0"/>
    <w:rPr>
      <w:sz w:val="20"/>
      <w:szCs w:val="20"/>
    </w:rPr>
  </w:style>
  <w:style w:type="character" w:customStyle="1" w:styleId="af4">
    <w:name w:val="Тема примечания Знак"/>
    <w:basedOn w:val="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38D28-1868-47C9-A83D-14830D002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9DDA67C6.dotm</Template>
  <TotalTime>9</TotalTime>
  <Pages>1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Волохова Ирина Александровна</dc:creator>
  <cp:lastModifiedBy>adminstd</cp:lastModifiedBy>
  <cp:revision>6</cp:revision>
  <cp:lastPrinted>2021-06-29T13:16:00Z</cp:lastPrinted>
  <dcterms:created xsi:type="dcterms:W3CDTF">2021-06-29T13:21:00Z</dcterms:created>
  <dcterms:modified xsi:type="dcterms:W3CDTF">2021-06-30T07:14:00Z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